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2021-10-29 17:17:21</w:t>
      </w:r>
    </w:p>
    <w:bookmarkStart w:id="42"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legacy phosphate mining wastewater from the Piney Point facility were released into Tampa Bay (Florida, USA). An estimated 186 metric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peaked in June, followed by</w:t>
      </w:r>
      <w:r>
        <w:t xml:space="preserve"> </w:t>
      </w:r>
      <w:r>
        <w:rPr>
          <w:iCs/>
          <w:i/>
        </w:rPr>
        <w:t xml:space="preserve">Karenia brevis</w:t>
      </w:r>
      <w:r>
        <w:t xml:space="preserve"> </w:t>
      </w:r>
      <w:r>
        <w:t xml:space="preserve">blooms in Tampa Bay proper in July. Reported fish kills tracked red tide 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release of wastewater from Piney Point are abnormal relative to historic conditions in Tampa Bay.</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Many of these gypstacks no longer supporting active mining and aging infrastructure combined with climate change related stressors (e.g., heavy precipitation events) have reduced the capacity of these facilities to maintain wastewater on site.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Gulf Coast estuaries persist despite recent environmental recovery. Ecosystem management paradigms for estuaries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potential environmental impacts of these facilities are considered a critical threat that could halt or reverse the decades of prior ecosystem improvement.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Holding capacity of the ponds has decreased over time from seasonal rain events, tropical storms, and storage of dredging material from nearby Port Manatee. Discharges from the stacks occurred in the early 2000s and in 2011 to nearby Bishop Harbor connected to Tampa Bay. Those discharges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at Piney Point. In response, FDEP authorized an</w:t>
      </w:r>
      <w:r>
        <w:t xml:space="preserve"> </w:t>
      </w:r>
      <w:hyperlink r:id="rId44">
        <w:r>
          <w:rPr>
            <w:rStyle w:val="Hyperlink"/>
          </w:rPr>
          <w:t xml:space="preserve">emergency order</w:t>
        </w:r>
      </w:hyperlink>
      <w:r>
        <w:t xml:space="preserve"> </w:t>
      </w:r>
      <w:r>
        <w:t xml:space="preserve">on March 29th, 2021 to release wastewater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(TBEP) in its role in coordinating monitoring and evaluating short-term impacts, particularly in the context of seagrass resources and long-term management goals that leverage existing partnerships among local resource management institutions. The results from this paper provide examples of anticipated short-term responses to acute nutrient loadings from legacy mining facilities in the broader context of historical conditions that may influence system response to these events.</w:t>
      </w:r>
    </w:p>
    <w:bookmarkEnd w:id="45"/>
    <w:bookmarkStart w:id="49" w:name="methods"/>
    <w:p>
      <w:pPr>
        <w:pStyle w:val="Heading1"/>
      </w:pPr>
      <w:r>
        <w:t xml:space="preserve">Methods</w:t>
      </w:r>
    </w:p>
    <w:bookmarkStart w:id="46"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over the following months. These data were collected through a coordinated effort under the guidance of an effluent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effluent release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 Additional sampling for contaminants (e.g., heavy metals), invertebrates, and nekton was also conducted, but they are not reported here in anticipation of future monitoring events.</w:t>
      </w:r>
    </w:p>
    <w:bookmarkEnd w:id="46"/>
    <w:bookmarkStart w:id="48"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7">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(Areas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 used by TBEP for assessing programmatic goals).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For censored data (i.e., above or below detection), secchi observations that were visually identified on the bottom (71 observations of 431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48"/>
    <w:bookmarkEnd w:id="49"/>
    <w:bookmarkStart w:id="55" w:name="results"/>
    <w:p>
      <w:pPr>
        <w:pStyle w:val="Heading1"/>
      </w:pPr>
      <w:r>
        <w:t xml:space="preserve">Results</w:t>
      </w:r>
    </w:p>
    <w:bookmarkStart w:id="50"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rom Piney Point is shown in Figure</w:t>
      </w:r>
      <w:r>
        <w:t xml:space="preserve"> </w:t>
      </w:r>
      <w:r>
        <w:t xml:space="preserve">2</w:t>
      </w:r>
      <w:r>
        <w:t xml:space="preserve">. After the discharge ceased on April 9th, an initial phytoplankton response was observed near Piney Point with concentrations peaking around mid-April. Taxa from the Bacillariophyta phylum (diatoms) were dominant in April, with a maximum April chlorophyll concentration of 50.5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(&gt;10,000 cells/L) by May 23rd, although observations were limited to lower Tampa Bay. Also during May,</w:t>
      </w:r>
      <w:r>
        <w:t xml:space="preserve"> </w:t>
      </w:r>
      <w:r>
        <w:rPr>
          <w:iCs/>
          <w:i/>
        </w:rPr>
        <w:t xml:space="preserve">Dapis spp.</w:t>
      </w:r>
      <w:r>
        <w:t xml:space="preserve"> </w:t>
      </w:r>
      <w:r>
        <w:t xml:space="preserve">(filamentous 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the months prior. A quantitative description of these events follows.</w:t>
      </w:r>
    </w:p>
    <w:bookmarkEnd w:id="50"/>
    <w:bookmarkStart w:id="51"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total nitrogen, and chlorophyll-a were observed when comparing stack conditions with those of the ambient conditions in Tampa Bay. These contrasts provided a context for the monitoring data collected in 2021.</w:t>
      </w:r>
    </w:p>
    <w:p>
      <w:pPr>
        <w:pStyle w:val="BodyText"/>
      </w:pPr>
      <w:r>
        <w:t xml:space="preserve">From April through September 2021, 7704 samples were collected and analyzed for chl-a, dissolved oxygen, total nitrogen, total phosphorus, total ammonia nitrogen, nitrate/nitrite, pH, salinity, secchi depth, and temperature (Table</w:t>
      </w:r>
      <w:r>
        <w:t xml:space="preserve"> </w:t>
      </w:r>
      <w:r>
        <w:t xml:space="preserve">2</w:t>
      </w:r>
      <w:r>
        <w:t xml:space="preserve">). Of these samples, 8% were outside of the normal range defined by the long-term monthly monitoring data for the baseline period from 2006 to 2020 (below for Secchi depth, above for all others). The percentage of observations outside of the normal range varied by location and parameter. For chl-a, 50% of the observations were above the normal range for area 1 located closest to teh discharge point,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19%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1"/>
    <w:bookmarkStart w:id="52"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 and 13%.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along this transect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Cyanobacteria frequency occurrence peaked in June, with greater coverage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2"/>
    <w:bookmarkStart w:id="53"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10,000 cells/L (based on FWC breakpoint) was an anomaly in 2021 that is not regularly observed in Tampa Bay. The historical record from 1953 to present in Figure</w:t>
      </w:r>
      <w:r>
        <w:t xml:space="preserve"> </w:t>
      </w:r>
      <w:r>
        <w:t xml:space="preserve">7</w:t>
      </w:r>
      <w:r>
        <w:t xml:space="preserve">a shows cell concentrations sampled in middle and lower Tampa Bay between April and September, with only a handful of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Seasonally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3"/>
    <w:bookmarkStart w:id="54"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chlorophyll-a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Figure</w:t>
      </w:r>
      <w:r>
        <w:t xml:space="preserve"> </w:t>
      </w:r>
      <w:r>
        <w:t xml:space="preserve">8</w:t>
      </w:r>
      <w:r>
        <w:t xml:space="preserve">c) that can readily utilize inorganic forms of nitrogen that were a majority percentage of the total nitrogen in the initial discharge. Water quality indicators improved slightly following the decrease in diatoms in late April, as noted by relatively lower concentrations of total nitrogen and chlorophyll.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total nitrogen and chlorophyll-a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4"/>
    <w:bookmarkEnd w:id="55"/>
    <w:bookmarkStart w:id="62" w:name="discussion"/>
    <w:p>
      <w:pPr>
        <w:pStyle w:val="Heading1"/>
      </w:pPr>
      <w:r>
        <w:t xml:space="preserve">Discussion</w:t>
      </w:r>
    </w:p>
    <w:p>
      <w:pPr>
        <w:pStyle w:val="FirstParagraph"/>
      </w:pPr>
      <w:r>
        <w:t xml:space="preserve">The observed conditions in Tampa Bay in 2021 following the discharge from Piney Point provide a weight of evidence that demonstrates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observed water quality conditions throughout this period, particularly for total nitrogen, chlorophyll-a, and secchi depth, were outside of normal seasonal ranges for many of the observations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56">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7">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8">
        <w:r>
          <w:rPr>
            <w:rStyle w:val="Hyperlink"/>
          </w:rPr>
          <w:t xml:space="preserve">https://tbep-tech.github.io/load-estimates/</w:t>
        </w:r>
      </w:hyperlink>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w:t>
      </w:r>
      <w:r>
        <w:t xml:space="preserve">) in May and June. Unusually high abundances of</w:t>
      </w:r>
      <w:r>
        <w:t xml:space="preserve"> </w:t>
      </w:r>
      <w:r>
        <w:rPr>
          <w:iCs/>
          <w:i/>
        </w:rPr>
        <w:t xml:space="preserve">Dapis sp.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Although the characteristics of water in a gypstack can vary based on site specific criteria,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for both nitrogen loading and water quality response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of nitrogen from Piney Point. Long-term fate of nitrogen from Piney Point is uncertain and continued monitoring can further support understanding of ecosystem response in Tampa Bay beyond the initial results in 2021.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5"/>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92"/>
        <w:gridCol w:w="1803"/>
        <w:gridCol w:w="1646"/>
        <w:gridCol w:w="548"/>
        <w:gridCol w:w="862"/>
        <w:gridCol w:w="627"/>
        <w:gridCol w:w="627"/>
        <w:gridCol w:w="1411"/>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 in range</w:t>
            </w:r>
          </w:p>
        </w:tc>
        <w:tc>
          <w:p>
            <w:pPr>
              <w:pStyle w:val="Compact"/>
              <w:jc w:val="right"/>
            </w:pPr>
            <w:r>
              <w:t xml:space="preserve">% above</w:t>
            </w:r>
          </w:p>
        </w:tc>
        <w:tc>
          <w:p>
            <w:pPr>
              <w:pStyle w:val="Compact"/>
              <w:jc w:val="right"/>
            </w:pPr>
            <w:r>
              <w:t xml:space="preserve">% below</w:t>
            </w:r>
          </w:p>
        </w:tc>
        <w:tc>
          <w:p>
            <w:pPr>
              <w:pStyle w:val="Compact"/>
              <w:jc w:val="right"/>
            </w:pPr>
            <w:r>
              <w:t xml:space="preserve">% 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44</w:t>
            </w:r>
          </w:p>
        </w:tc>
        <w:tc>
          <w:p>
            <w:pPr>
              <w:pStyle w:val="Compact"/>
              <w:jc w:val="right"/>
            </w:pPr>
            <w:r>
              <w:t xml:space="preserve">50</w:t>
            </w:r>
          </w:p>
        </w:tc>
        <w:tc>
          <w:p>
            <w:pPr>
              <w:pStyle w:val="Compact"/>
              <w:jc w:val="right"/>
            </w:pPr>
            <w:r>
              <w:t xml:space="preserve">6</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w:t>
            </w:r>
          </w:p>
        </w:tc>
        <w:tc>
          <w:p>
            <w:pPr>
              <w:pStyle w:val="Compact"/>
              <w:jc w:val="right"/>
            </w:pPr>
            <w:r>
              <w:t xml:space="preserve">53</w:t>
            </w:r>
          </w:p>
        </w:tc>
        <w:tc>
          <w:p>
            <w:pPr>
              <w:pStyle w:val="Compact"/>
              <w:jc w:val="right"/>
            </w:pPr>
            <w:r>
              <w:t xml:space="preserve">17</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66</w:t>
            </w:r>
          </w:p>
        </w:tc>
        <w:tc>
          <w:p>
            <w:pPr>
              <w:pStyle w:val="Compact"/>
              <w:jc w:val="right"/>
            </w:pPr>
            <w:r>
              <w:t xml:space="preserve">18</w:t>
            </w:r>
          </w:p>
        </w:tc>
        <w:tc>
          <w:p>
            <w:pPr>
              <w:pStyle w:val="Compact"/>
              <w:jc w:val="right"/>
            </w:pPr>
            <w:r>
              <w:t xml:space="preserve">17</w:t>
            </w:r>
          </w:p>
        </w:tc>
        <w:tc>
          <w:p>
            <w:pPr>
              <w:pStyle w:val="Compact"/>
              <w:jc w:val="right"/>
            </w:pPr>
            <w:r>
              <w:t xml:space="preserve">27</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w:t>
            </w:r>
          </w:p>
        </w:tc>
        <w:tc>
          <w:p>
            <w:pPr>
              <w:pStyle w:val="Compact"/>
              <w:jc w:val="right"/>
            </w:pPr>
            <w:r>
              <w:t xml:space="preserve">19</w:t>
            </w:r>
          </w:p>
        </w:tc>
        <w:tc>
          <w:p>
            <w:pPr>
              <w:pStyle w:val="Compact"/>
              <w:jc w:val="right"/>
            </w:pPr>
            <w:r>
              <w:t xml:space="preserve">18</w:t>
            </w:r>
          </w:p>
        </w:tc>
        <w:tc>
          <w:p>
            <w:pPr>
              <w:pStyle w:val="Compact"/>
              <w:jc w:val="right"/>
            </w:pPr>
            <w:r>
              <w:t xml:space="preserve">70</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58</w:t>
            </w:r>
          </w:p>
        </w:tc>
        <w:tc>
          <w:p>
            <w:pPr>
              <w:pStyle w:val="Compact"/>
              <w:jc w:val="right"/>
            </w:pPr>
            <w:r>
              <w:t xml:space="preserve">29</w:t>
            </w:r>
          </w:p>
        </w:tc>
        <w:tc>
          <w:p>
            <w:pPr>
              <w:pStyle w:val="Compact"/>
              <w:jc w:val="right"/>
            </w:pPr>
            <w:r>
              <w:t xml:space="preserve">14</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w:t>
            </w:r>
          </w:p>
        </w:tc>
        <w:tc>
          <w:p>
            <w:pPr>
              <w:pStyle w:val="Compact"/>
              <w:jc w:val="right"/>
            </w:pPr>
            <w:r>
              <w:t xml:space="preserve">4</w:t>
            </w:r>
          </w:p>
        </w:tc>
        <w:tc>
          <w:p>
            <w:pPr>
              <w:pStyle w:val="Compact"/>
              <w:jc w:val="right"/>
            </w:pPr>
            <w:r>
              <w:t xml:space="preserve">13</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w:t>
            </w:r>
          </w:p>
        </w:tc>
        <w:tc>
          <w:p>
            <w:pPr>
              <w:pStyle w:val="Compact"/>
              <w:jc w:val="right"/>
            </w:pPr>
            <w:r>
              <w:t xml:space="preserve">22</w:t>
            </w:r>
          </w:p>
        </w:tc>
        <w:tc>
          <w:p>
            <w:pPr>
              <w:pStyle w:val="Compact"/>
              <w:jc w:val="right"/>
            </w:pPr>
            <w:r>
              <w:t xml:space="preserve">34</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66</w:t>
            </w:r>
          </w:p>
        </w:tc>
        <w:tc>
          <w:p>
            <w:pPr>
              <w:pStyle w:val="Compact"/>
              <w:jc w:val="right"/>
            </w:pPr>
            <w:r>
              <w:t xml:space="preserve">15</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w:t>
            </w:r>
          </w:p>
        </w:tc>
        <w:tc>
          <w:p>
            <w:pPr>
              <w:pStyle w:val="Compact"/>
              <w:jc w:val="right"/>
            </w:pPr>
            <w:r>
              <w:t xml:space="preserve">37</w:t>
            </w:r>
          </w:p>
        </w:tc>
        <w:tc>
          <w:p>
            <w:pPr>
              <w:pStyle w:val="Compact"/>
              <w:jc w:val="right"/>
            </w:pPr>
            <w:r>
              <w:t xml:space="preserve">4</w:t>
            </w:r>
          </w:p>
        </w:tc>
        <w:tc>
          <w:p>
            <w:pPr>
              <w:pStyle w:val="Compact"/>
              <w:jc w:val="right"/>
            </w:pPr>
            <w:r>
              <w:t xml:space="preserve">4</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w:t>
            </w:r>
          </w:p>
        </w:tc>
        <w:tc>
          <w:p>
            <w:pPr>
              <w:pStyle w:val="Compact"/>
              <w:jc w:val="right"/>
            </w:pPr>
            <w:r>
              <w:t xml:space="preserve">15</w:t>
            </w:r>
          </w:p>
        </w:tc>
        <w:tc>
          <w:p>
            <w:pPr>
              <w:pStyle w:val="Compact"/>
              <w:jc w:val="right"/>
            </w:pPr>
            <w:r>
              <w:t xml:space="preserve">4</w:t>
            </w:r>
          </w:p>
        </w:tc>
        <w:tc>
          <w:p>
            <w:pPr>
              <w:pStyle w:val="Compact"/>
              <w:jc w:val="right"/>
            </w:pPr>
            <w:r>
              <w:t xml:space="preserve">1</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w:t>
            </w:r>
          </w:p>
        </w:tc>
        <w:tc>
          <w:p>
            <w:pPr>
              <w:pStyle w:val="Compact"/>
              <w:jc w:val="right"/>
            </w:pPr>
            <w:r>
              <w:t xml:space="preserve">6</w:t>
            </w:r>
          </w:p>
        </w:tc>
        <w:tc>
          <w:p>
            <w:pPr>
              <w:pStyle w:val="Compact"/>
              <w:jc w:val="right"/>
            </w:pPr>
            <w:r>
              <w:t xml:space="preserve">33</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w:t>
            </w:r>
          </w:p>
        </w:tc>
        <w:tc>
          <w:p>
            <w:pPr>
              <w:pStyle w:val="Compact"/>
              <w:jc w:val="right"/>
            </w:pPr>
            <w:r>
              <w:t xml:space="preserve">44</w:t>
            </w:r>
          </w:p>
        </w:tc>
        <w:tc>
          <w:p>
            <w:pPr>
              <w:pStyle w:val="Compact"/>
              <w:jc w:val="right"/>
            </w:pPr>
            <w:r>
              <w:t xml:space="preserve">14</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86</w:t>
            </w:r>
          </w:p>
        </w:tc>
        <w:tc>
          <w:p>
            <w:pPr>
              <w:pStyle w:val="Compact"/>
              <w:jc w:val="right"/>
            </w:pPr>
            <w:r>
              <w:t xml:space="preserve">1</w:t>
            </w:r>
          </w:p>
        </w:tc>
        <w:tc>
          <w:p>
            <w:pPr>
              <w:pStyle w:val="Compact"/>
              <w:jc w:val="right"/>
            </w:pPr>
            <w:r>
              <w:t xml:space="preserve">13</w:t>
            </w:r>
          </w:p>
        </w:tc>
        <w:tc>
          <w:p>
            <w:pPr>
              <w:pStyle w:val="Compact"/>
              <w:jc w:val="right"/>
            </w:pPr>
            <w:r>
              <w:t xml:space="preserve">28</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w:t>
            </w:r>
          </w:p>
        </w:tc>
        <w:tc>
          <w:p>
            <w:pPr>
              <w:pStyle w:val="Compact"/>
              <w:jc w:val="right"/>
            </w:pPr>
            <w:r>
              <w:t xml:space="preserve">18</w:t>
            </w:r>
          </w:p>
        </w:tc>
        <w:tc>
          <w:p>
            <w:pPr>
              <w:pStyle w:val="Compact"/>
              <w:jc w:val="right"/>
            </w:pPr>
            <w:r>
              <w:t xml:space="preserve">18</w:t>
            </w:r>
          </w:p>
        </w:tc>
        <w:tc>
          <w:p>
            <w:pPr>
              <w:pStyle w:val="Compact"/>
              <w:jc w:val="right"/>
            </w:pPr>
            <w:r>
              <w:t xml:space="preserve">80</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72</w:t>
            </w:r>
          </w:p>
        </w:tc>
        <w:tc>
          <w:p>
            <w:pPr>
              <w:pStyle w:val="Compact"/>
              <w:jc w:val="right"/>
            </w:pPr>
            <w:r>
              <w:t xml:space="preserve">16</w:t>
            </w:r>
          </w:p>
        </w:tc>
        <w:tc>
          <w:p>
            <w:pPr>
              <w:pStyle w:val="Compact"/>
              <w:jc w:val="right"/>
            </w:pPr>
            <w:r>
              <w:t xml:space="preserve">12</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w:t>
            </w:r>
          </w:p>
        </w:tc>
        <w:tc>
          <w:p>
            <w:pPr>
              <w:pStyle w:val="Compact"/>
              <w:jc w:val="right"/>
            </w:pPr>
            <w:r>
              <w:t xml:space="preserve">0</w:t>
            </w:r>
          </w:p>
        </w:tc>
        <w:tc>
          <w:p>
            <w:pPr>
              <w:pStyle w:val="Compact"/>
              <w:jc w:val="right"/>
            </w:pPr>
            <w:r>
              <w:t xml:space="preserve">10</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52</w:t>
            </w:r>
          </w:p>
        </w:tc>
        <w:tc>
          <w:p>
            <w:pPr>
              <w:pStyle w:val="Compact"/>
              <w:jc w:val="right"/>
            </w:pPr>
            <w:r>
              <w:t xml:space="preserve">30</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73</w:t>
            </w:r>
          </w:p>
        </w:tc>
        <w:tc>
          <w:p>
            <w:pPr>
              <w:pStyle w:val="Compact"/>
              <w:jc w:val="right"/>
            </w:pPr>
            <w:r>
              <w:t xml:space="preserve">7</w:t>
            </w:r>
          </w:p>
        </w:tc>
        <w:tc>
          <w:p>
            <w:pPr>
              <w:pStyle w:val="Compact"/>
              <w:jc w:val="right"/>
            </w:pPr>
            <w:r>
              <w:t xml:space="preserve">21</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w:t>
            </w:r>
          </w:p>
        </w:tc>
        <w:tc>
          <w:p>
            <w:pPr>
              <w:pStyle w:val="Compact"/>
              <w:jc w:val="right"/>
            </w:pPr>
            <w:r>
              <w:t xml:space="preserve">22</w:t>
            </w:r>
          </w:p>
        </w:tc>
        <w:tc>
          <w:p>
            <w:pPr>
              <w:pStyle w:val="Compact"/>
              <w:jc w:val="right"/>
            </w:pPr>
            <w:r>
              <w:t xml:space="preserve">13</w:t>
            </w:r>
          </w:p>
        </w:tc>
        <w:tc>
          <w:p>
            <w:pPr>
              <w:pStyle w:val="Compact"/>
              <w:jc w:val="right"/>
            </w:pPr>
            <w:r>
              <w:t xml:space="preserve">14</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60</w:t>
            </w:r>
          </w:p>
        </w:tc>
        <w:tc>
          <w:p>
            <w:pPr>
              <w:pStyle w:val="Compact"/>
              <w:jc w:val="right"/>
            </w:pPr>
            <w:r>
              <w:t xml:space="preserve">12</w:t>
            </w:r>
          </w:p>
        </w:tc>
        <w:tc>
          <w:p>
            <w:pPr>
              <w:pStyle w:val="Compact"/>
              <w:jc w:val="right"/>
            </w:pPr>
            <w:r>
              <w:t xml:space="preserve">28</w:t>
            </w:r>
          </w:p>
        </w:tc>
        <w:tc>
          <w:p>
            <w:pPr>
              <w:pStyle w:val="Compact"/>
              <w:jc w:val="right"/>
            </w:pPr>
            <w:r>
              <w:t xml:space="preserve">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69</w:t>
            </w:r>
          </w:p>
        </w:tc>
        <w:tc>
          <w:p>
            <w:pPr>
              <w:pStyle w:val="Compact"/>
              <w:jc w:val="right"/>
            </w:pPr>
            <w:r>
              <w:t xml:space="preserve">22</w:t>
            </w:r>
          </w:p>
        </w:tc>
        <w:tc>
          <w:p>
            <w:pPr>
              <w:pStyle w:val="Compact"/>
              <w:jc w:val="right"/>
            </w:pPr>
            <w:r>
              <w:t xml:space="preserve">9</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53</w:t>
            </w:r>
          </w:p>
        </w:tc>
        <w:tc>
          <w:p>
            <w:pPr>
              <w:pStyle w:val="Compact"/>
              <w:jc w:val="right"/>
            </w:pPr>
            <w:r>
              <w:t xml:space="preserve">26</w:t>
            </w:r>
          </w:p>
        </w:tc>
        <w:tc>
          <w:p>
            <w:pPr>
              <w:pStyle w:val="Compact"/>
              <w:jc w:val="right"/>
            </w:pPr>
            <w:r>
              <w:t xml:space="preserve">21</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55</w:t>
            </w:r>
          </w:p>
        </w:tc>
        <w:tc>
          <w:p>
            <w:pPr>
              <w:pStyle w:val="Compact"/>
              <w:jc w:val="right"/>
            </w:pPr>
            <w:r>
              <w:t xml:space="preserve">0</w:t>
            </w:r>
          </w:p>
        </w:tc>
        <w:tc>
          <w:p>
            <w:pPr>
              <w:pStyle w:val="Compact"/>
              <w:jc w:val="right"/>
            </w:pPr>
            <w:r>
              <w:t xml:space="preserve">45</w:t>
            </w:r>
          </w:p>
        </w:tc>
        <w:tc>
          <w:p>
            <w:pPr>
              <w:pStyle w:val="Compact"/>
              <w:jc w:val="right"/>
            </w:pPr>
            <w:r>
              <w:t xml:space="preserve">55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60</w:t>
            </w:r>
          </w:p>
        </w:tc>
        <w:tc>
          <w:p>
            <w:pPr>
              <w:pStyle w:val="Compact"/>
              <w:jc w:val="right"/>
            </w:pPr>
            <w:r>
              <w:t xml:space="preserve">9</w:t>
            </w:r>
          </w:p>
        </w:tc>
        <w:tc>
          <w:p>
            <w:pPr>
              <w:pStyle w:val="Compact"/>
              <w:jc w:val="right"/>
            </w:pPr>
            <w:r>
              <w:t xml:space="preserve">31</w:t>
            </w:r>
          </w:p>
        </w:tc>
        <w:tc>
          <w:p>
            <w:pPr>
              <w:pStyle w:val="Compact"/>
              <w:jc w:val="right"/>
            </w:pPr>
            <w:r>
              <w:t xml:space="preserve">93</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70</w:t>
            </w:r>
          </w:p>
        </w:tc>
        <w:tc>
          <w:p>
            <w:pPr>
              <w:pStyle w:val="Compact"/>
              <w:jc w:val="right"/>
            </w:pPr>
            <w:r>
              <w:t xml:space="preserve">21</w:t>
            </w:r>
          </w:p>
        </w:tc>
        <w:tc>
          <w:p>
            <w:pPr>
              <w:pStyle w:val="Compact"/>
              <w:jc w:val="right"/>
            </w:pPr>
            <w:r>
              <w:t xml:space="preserve">9</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w:t>
            </w:r>
          </w:p>
        </w:tc>
        <w:tc>
          <w:p>
            <w:pPr>
              <w:pStyle w:val="Compact"/>
              <w:jc w:val="right"/>
            </w:pPr>
            <w:r>
              <w:t xml:space="preserve">8</w:t>
            </w:r>
          </w:p>
        </w:tc>
        <w:tc>
          <w:p>
            <w:pPr>
              <w:pStyle w:val="Compact"/>
              <w:jc w:val="right"/>
            </w:pPr>
            <w:r>
              <w:t xml:space="preserve">11</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w:t>
            </w:r>
          </w:p>
        </w:tc>
        <w:tc>
          <w:p>
            <w:pPr>
              <w:pStyle w:val="Compact"/>
              <w:jc w:val="right"/>
            </w:pPr>
            <w:r>
              <w:t xml:space="preserve">16</w:t>
            </w:r>
          </w:p>
        </w:tc>
        <w:tc>
          <w:p>
            <w:pPr>
              <w:pStyle w:val="Compact"/>
              <w:jc w:val="right"/>
            </w:pPr>
            <w:r>
              <w:t xml:space="preserve">35</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64</w:t>
            </w:r>
          </w:p>
        </w:tc>
        <w:tc>
          <w:p>
            <w:pPr>
              <w:pStyle w:val="Compact"/>
              <w:jc w:val="right"/>
            </w:pPr>
            <w:r>
              <w:t xml:space="preserve">13</w:t>
            </w:r>
          </w:p>
        </w:tc>
        <w:tc>
          <w:p>
            <w:pPr>
              <w:pStyle w:val="Compact"/>
              <w:jc w:val="right"/>
            </w:pPr>
            <w:r>
              <w:t xml:space="preserve">24</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w:t>
            </w:r>
          </w:p>
        </w:tc>
        <w:tc>
          <w:p>
            <w:pPr>
              <w:pStyle w:val="Compact"/>
              <w:jc w:val="right"/>
            </w:pPr>
            <w:r>
              <w:t xml:space="preserve">22</w:t>
            </w:r>
          </w:p>
        </w:tc>
        <w:tc>
          <w:p>
            <w:pPr>
              <w:pStyle w:val="Compact"/>
              <w:jc w:val="right"/>
            </w:pPr>
            <w:r>
              <w:t xml:space="preserve">5</w:t>
            </w:r>
          </w:p>
        </w:tc>
        <w:tc>
          <w:p>
            <w:pPr>
              <w:pStyle w:val="Compact"/>
              <w:jc w:val="right"/>
            </w:pPr>
            <w:r>
              <w:t xml:space="preserve">10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78</w:t>
            </w:r>
          </w:p>
        </w:tc>
        <w:tc>
          <w:p>
            <w:pPr>
              <w:pStyle w:val="Compact"/>
              <w:jc w:val="right"/>
            </w:pPr>
            <w:r>
              <w:t xml:space="preserve">11</w:t>
            </w:r>
          </w:p>
        </w:tc>
        <w:tc>
          <w:p>
            <w:pPr>
              <w:pStyle w:val="Compact"/>
              <w:jc w:val="right"/>
            </w:pPr>
            <w:r>
              <w:t xml:space="preserve">12</w:t>
            </w:r>
          </w:p>
        </w:tc>
        <w:tc>
          <w:p>
            <w:pPr>
              <w:pStyle w:val="Compact"/>
              <w:jc w:val="right"/>
            </w:pPr>
            <w:r>
              <w:t xml:space="preserve">18</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5"/>
    <w:bookmarkStart w:id="182" w:name="references"/>
    <w:p>
      <w:pPr>
        <w:pStyle w:val="Heading1"/>
      </w:pPr>
      <w:r>
        <w:t xml:space="preserve">References</w:t>
      </w:r>
    </w:p>
    <w:bookmarkStart w:id="181"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0"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0"/>
    <w:bookmarkStart w:id="131" w:name="ref-Lee20"/>
    <w:p>
      <w:pPr>
        <w:pStyle w:val="Bibliography"/>
      </w:pPr>
      <w:r>
        <w:t xml:space="preserve">Lee, L., 2020. NADA: Nondetects and data analysis for environmental data.</w:t>
      </w:r>
    </w:p>
    <w:bookmarkEnd w:id="131"/>
    <w:bookmarkStart w:id="133"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2">
        <w:r>
          <w:rPr>
            <w:rStyle w:val="Hyperlink"/>
          </w:rPr>
          <w:t xml:space="preserve">https://doi.org/10.1002/2016JC011938</w:t>
        </w:r>
      </w:hyperlink>
    </w:p>
    <w:bookmarkEnd w:id="133"/>
    <w:bookmarkStart w:id="135"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4">
        <w:r>
          <w:rPr>
            <w:rStyle w:val="Hyperlink"/>
          </w:rPr>
          <w:t xml:space="preserve">https://doi.org/10.1016/j.ocecoaman.2005.07.002</w:t>
        </w:r>
      </w:hyperlink>
    </w:p>
    <w:bookmarkEnd w:id="135"/>
    <w:bookmarkStart w:id="137"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6">
        <w:r>
          <w:rPr>
            <w:rStyle w:val="Hyperlink"/>
          </w:rPr>
          <w:t xml:space="preserve">https://doi.org/10.1016/j.hal.2020.101900</w:t>
        </w:r>
      </w:hyperlink>
    </w:p>
    <w:bookmarkEnd w:id="137"/>
    <w:bookmarkStart w:id="139"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8">
        <w:r>
          <w:rPr>
            <w:rStyle w:val="Hyperlink"/>
          </w:rPr>
          <w:t xml:space="preserve">https://doi.org/10.1016/j.envsoft.2019.03.027</w:t>
        </w:r>
      </w:hyperlink>
    </w:p>
    <w:bookmarkEnd w:id="139"/>
    <w:bookmarkStart w:id="141" w:name="ref-Nixon95"/>
    <w:p>
      <w:pPr>
        <w:pStyle w:val="Bibliography"/>
      </w:pPr>
      <w:r>
        <w:t xml:space="preserve">Nixon, S.W., 1995. Coastal marine eutrophication: A definition, social causes, and future concerns. Ophelia 41, 199–219.</w:t>
      </w:r>
      <w:r>
        <w:t xml:space="preserve"> </w:t>
      </w:r>
      <w:hyperlink r:id="rId140">
        <w:r>
          <w:rPr>
            <w:rStyle w:val="Hyperlink"/>
          </w:rPr>
          <w:t xml:space="preserve">https://doi.org/10.1080/00785236.1995.10422044</w:t>
        </w:r>
      </w:hyperlink>
    </w:p>
    <w:bookmarkEnd w:id="141"/>
    <w:bookmarkStart w:id="142"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2"/>
    <w:bookmarkStart w:id="144"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3">
        <w:r>
          <w:rPr>
            <w:rStyle w:val="Hyperlink"/>
          </w:rPr>
          <w:t xml:space="preserve">https://doi.org/10.32614/RJ-2018-009</w:t>
        </w:r>
      </w:hyperlink>
    </w:p>
    <w:bookmarkEnd w:id="144"/>
    <w:bookmarkStart w:id="146"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5">
        <w:r>
          <w:rPr>
            <w:rStyle w:val="Hyperlink"/>
          </w:rPr>
          <w:t xml:space="preserve">https://doi.org/10.1016/j.scitotenv.2016.02.070</w:t>
        </w:r>
      </w:hyperlink>
    </w:p>
    <w:bookmarkEnd w:id="146"/>
    <w:bookmarkStart w:id="148"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7">
        <w:r>
          <w:rPr>
            <w:rStyle w:val="Hyperlink"/>
          </w:rPr>
          <w:t xml:space="preserve">https://doi.org/10.1016/j.apgeochem.2010.02.003</w:t>
        </w:r>
      </w:hyperlink>
    </w:p>
    <w:bookmarkEnd w:id="148"/>
    <w:bookmarkStart w:id="149" w:name="ref-RCT20"/>
    <w:p>
      <w:pPr>
        <w:pStyle w:val="Bibliography"/>
      </w:pPr>
      <w:r>
        <w:t xml:space="preserve">R Core Team, 2020. R: A language and environment for statistical computing, v4.0.3. R Foundation for Statistical Computing, Vienna, Austria.</w:t>
      </w:r>
    </w:p>
    <w:bookmarkEnd w:id="149"/>
    <w:bookmarkStart w:id="151"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0">
        <w:r>
          <w:rPr>
            <w:rStyle w:val="Hyperlink"/>
          </w:rPr>
          <w:t xml:space="preserve">https://doi.org/10.1007/s11270-013-1742-7</w:t>
        </w:r>
      </w:hyperlink>
    </w:p>
    <w:bookmarkEnd w:id="151"/>
    <w:bookmarkStart w:id="153"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2">
        <w:r>
          <w:rPr>
            <w:rStyle w:val="Hyperlink"/>
          </w:rPr>
          <w:t xml:space="preserve">https://doi.org/10.1016/j.ecolind.2020.107310</w:t>
        </w:r>
      </w:hyperlink>
    </w:p>
    <w:bookmarkEnd w:id="153"/>
    <w:bookmarkStart w:id="155"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4">
        <w:r>
          <w:rPr>
            <w:rStyle w:val="Hyperlink"/>
          </w:rPr>
          <w:t xml:space="preserve">https://doi.org/10.1353/sgo.2017.0026</w:t>
        </w:r>
      </w:hyperlink>
    </w:p>
    <w:bookmarkEnd w:id="155"/>
    <w:bookmarkStart w:id="157"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6">
        <w:r>
          <w:rPr>
            <w:rStyle w:val="Hyperlink"/>
          </w:rPr>
          <w:t xml:space="preserve">https://doi.org/10.1016/j.hal.2021.102118</w:t>
        </w:r>
      </w:hyperlink>
    </w:p>
    <w:bookmarkEnd w:id="157"/>
    <w:bookmarkStart w:id="15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58">
        <w:r>
          <w:rPr>
            <w:rStyle w:val="Hyperlink"/>
          </w:rPr>
          <w:t xml:space="preserve">https://doi.org/10.1016/j.jembe.2005.11.025</w:t>
        </w:r>
      </w:hyperlink>
    </w:p>
    <w:bookmarkEnd w:id="159"/>
    <w:bookmarkStart w:id="161"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0">
        <w:r>
          <w:rPr>
            <w:rStyle w:val="Hyperlink"/>
          </w:rPr>
          <w:t xml:space="preserve">https://doi.org/10.1080/00139307509435842</w:t>
        </w:r>
      </w:hyperlink>
    </w:p>
    <w:bookmarkEnd w:id="161"/>
    <w:bookmarkStart w:id="163"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2">
        <w:r>
          <w:rPr>
            <w:rStyle w:val="Hyperlink"/>
          </w:rPr>
          <w:t xml:space="preserve">https://doi.org/10.1080/00139307209435473</w:t>
        </w:r>
      </w:hyperlink>
    </w:p>
    <w:bookmarkEnd w:id="163"/>
    <w:bookmarkStart w:id="164"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4"/>
    <w:bookmarkStart w:id="166"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5">
        <w:r>
          <w:rPr>
            <w:rStyle w:val="Hyperlink"/>
          </w:rPr>
          <w:t xml:space="preserve">https://doi.org/10.1016/j.jenvman.2009.03.007</w:t>
        </w:r>
      </w:hyperlink>
    </w:p>
    <w:bookmarkEnd w:id="166"/>
    <w:bookmarkStart w:id="168"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7">
        <w:r>
          <w:rPr>
            <w:rStyle w:val="Hyperlink"/>
          </w:rPr>
          <w:t xml:space="preserve">https://doi.org/10.1016/j.marpolbul.2020.111247</w:t>
        </w:r>
      </w:hyperlink>
    </w:p>
    <w:bookmarkEnd w:id="168"/>
    <w:bookmarkStart w:id="170"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69">
        <w:r>
          <w:rPr>
            <w:rStyle w:val="Hyperlink"/>
          </w:rPr>
          <w:t xml:space="preserve">https://doi.org/10.1016/j.marpolbul.2018.08.049</w:t>
        </w:r>
      </w:hyperlink>
    </w:p>
    <w:bookmarkEnd w:id="170"/>
    <w:bookmarkStart w:id="172"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1">
        <w:r>
          <w:rPr>
            <w:rStyle w:val="Hyperlink"/>
          </w:rPr>
          <w:t xml:space="preserve">https://doi.org/10.4319/lo.1997.42.5_part_2.1105</w:t>
        </w:r>
      </w:hyperlink>
    </w:p>
    <w:bookmarkEnd w:id="172"/>
    <w:bookmarkStart w:id="173"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3"/>
    <w:bookmarkStart w:id="175"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4">
        <w:r>
          <w:rPr>
            <w:rStyle w:val="Hyperlink"/>
          </w:rPr>
          <w:t xml:space="preserve">https://doi.org/10.1029/2018JC014887</w:t>
        </w:r>
      </w:hyperlink>
    </w:p>
    <w:bookmarkEnd w:id="175"/>
    <w:bookmarkStart w:id="177"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6">
        <w:r>
          <w:rPr>
            <w:rStyle w:val="Hyperlink"/>
          </w:rPr>
          <w:t xml:space="preserve">https://doi.org/10.1016/j.hal.2014.04.010</w:t>
        </w:r>
      </w:hyperlink>
    </w:p>
    <w:bookmarkEnd w:id="177"/>
    <w:bookmarkStart w:id="179"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8">
        <w:r>
          <w:rPr>
            <w:rStyle w:val="Hyperlink"/>
          </w:rPr>
          <w:t xml:space="preserve">https://doi.org/10.21105/joss.01686</w:t>
        </w:r>
      </w:hyperlink>
    </w:p>
    <w:bookmarkEnd w:id="179"/>
    <w:bookmarkStart w:id="180" w:name="ref-Wood17"/>
    <w:p>
      <w:pPr>
        <w:pStyle w:val="Bibliography"/>
      </w:pPr>
      <w:r>
        <w:t xml:space="preserve">Wood, S.N., 2017. Generalized additive models: An introduction with r, 2nd ed. Chapman; Hall, CRC Press, London, United Kingdom.</w:t>
      </w:r>
    </w:p>
    <w:bookmarkEnd w:id="180"/>
    <w:bookmarkEnd w:id="181"/>
    <w:bookmarkEnd w:id="18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132"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0"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47" Target="https://doi.org/10.1016/j.apgeochem.2010.02.003" TargetMode="External" /><Relationship Type="http://schemas.openxmlformats.org/officeDocument/2006/relationships/hyperlink" Id="rId152"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38"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6" Target="https://doi.org/10.1016/j.hal.2014.04.010" TargetMode="External" /><Relationship Type="http://schemas.openxmlformats.org/officeDocument/2006/relationships/hyperlink" Id="rId136" Target="https://doi.org/10.1016/j.hal.2020.101900" TargetMode="External" /><Relationship Type="http://schemas.openxmlformats.org/officeDocument/2006/relationships/hyperlink" Id="rId156" Target="https://doi.org/10.1016/j.hal.2021.102118" TargetMode="External" /><Relationship Type="http://schemas.openxmlformats.org/officeDocument/2006/relationships/hyperlink" Id="rId158" Target="https://doi.org/10.1016/j.jembe.2005.11.025" TargetMode="External" /><Relationship Type="http://schemas.openxmlformats.org/officeDocument/2006/relationships/hyperlink" Id="rId165"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69" Target="https://doi.org/10.1016/j.marpolbul.2018.08.049" TargetMode="External" /><Relationship Type="http://schemas.openxmlformats.org/officeDocument/2006/relationships/hyperlink" Id="rId167" Target="https://doi.org/10.1016/j.marpolbul.2020.111247" TargetMode="External" /><Relationship Type="http://schemas.openxmlformats.org/officeDocument/2006/relationships/hyperlink" Id="rId134" Target="https://doi.org/10.1016/j.ocecoaman.2005.07.002" TargetMode="External" /><Relationship Type="http://schemas.openxmlformats.org/officeDocument/2006/relationships/hyperlink" Id="rId145" Target="https://doi.org/10.1016/j.scitotenv.2016.02.070" TargetMode="External" /><Relationship Type="http://schemas.openxmlformats.org/officeDocument/2006/relationships/hyperlink" Id="rId174"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2" Target="https://doi.org/10.1080/00139307209435473" TargetMode="External" /><Relationship Type="http://schemas.openxmlformats.org/officeDocument/2006/relationships/hyperlink" Id="rId160" Target="https://doi.org/10.1080/00139307509435842" TargetMode="External" /><Relationship Type="http://schemas.openxmlformats.org/officeDocument/2006/relationships/hyperlink" Id="rId140" Target="https://doi.org/10.1080/00785236.1995.10422044" TargetMode="External" /><Relationship Type="http://schemas.openxmlformats.org/officeDocument/2006/relationships/hyperlink" Id="rId154"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78"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3"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1"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2"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0"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47" Target="https://doi.org/10.1016/j.apgeochem.2010.02.003" TargetMode="External" /><Relationship Type="http://schemas.openxmlformats.org/officeDocument/2006/relationships/hyperlink" Id="rId152"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38"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6" Target="https://doi.org/10.1016/j.hal.2014.04.010" TargetMode="External" /><Relationship Type="http://schemas.openxmlformats.org/officeDocument/2006/relationships/hyperlink" Id="rId136" Target="https://doi.org/10.1016/j.hal.2020.101900" TargetMode="External" /><Relationship Type="http://schemas.openxmlformats.org/officeDocument/2006/relationships/hyperlink" Id="rId156" Target="https://doi.org/10.1016/j.hal.2021.102118" TargetMode="External" /><Relationship Type="http://schemas.openxmlformats.org/officeDocument/2006/relationships/hyperlink" Id="rId158" Target="https://doi.org/10.1016/j.jembe.2005.11.025" TargetMode="External" /><Relationship Type="http://schemas.openxmlformats.org/officeDocument/2006/relationships/hyperlink" Id="rId165"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69" Target="https://doi.org/10.1016/j.marpolbul.2018.08.049" TargetMode="External" /><Relationship Type="http://schemas.openxmlformats.org/officeDocument/2006/relationships/hyperlink" Id="rId167" Target="https://doi.org/10.1016/j.marpolbul.2020.111247" TargetMode="External" /><Relationship Type="http://schemas.openxmlformats.org/officeDocument/2006/relationships/hyperlink" Id="rId134" Target="https://doi.org/10.1016/j.ocecoaman.2005.07.002" TargetMode="External" /><Relationship Type="http://schemas.openxmlformats.org/officeDocument/2006/relationships/hyperlink" Id="rId145" Target="https://doi.org/10.1016/j.scitotenv.2016.02.070" TargetMode="External" /><Relationship Type="http://schemas.openxmlformats.org/officeDocument/2006/relationships/hyperlink" Id="rId174"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2" Target="https://doi.org/10.1080/00139307209435473" TargetMode="External" /><Relationship Type="http://schemas.openxmlformats.org/officeDocument/2006/relationships/hyperlink" Id="rId160" Target="https://doi.org/10.1080/00139307509435842" TargetMode="External" /><Relationship Type="http://schemas.openxmlformats.org/officeDocument/2006/relationships/hyperlink" Id="rId140" Target="https://doi.org/10.1080/00785236.1995.10422044" TargetMode="External" /><Relationship Type="http://schemas.openxmlformats.org/officeDocument/2006/relationships/hyperlink" Id="rId154"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78"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3"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1"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2021-10-29T21:17:31Z</dcterms:created>
  <dcterms:modified xsi:type="dcterms:W3CDTF">2021-10-29T21:17:31Z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